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11                                </w:t>
      </w:r>
      <w:r>
        <w:rPr>
          <w:rFonts w:hint="default" w:ascii="Arial" w:hAnsi="Arial" w:cs="Arial"/>
          <w:b/>
          <w:color w:val="auto"/>
          <w:sz w:val="24"/>
          <w:lang w:val="en-US" w:eastAsia="zh-CN"/>
        </w:rPr>
        <w:t>R4-2</w:t>
      </w:r>
      <w:r>
        <w:rPr>
          <w:rFonts w:hint="eastAsia" w:cs="Arial"/>
          <w:b/>
          <w:color w:val="auto"/>
          <w:sz w:val="24"/>
          <w:lang w:val="en-US" w:eastAsia="zh-CN"/>
        </w:rPr>
        <w:t>408365</w:t>
      </w:r>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Fukuoka, Japan, 20th-24th May,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10</w:t>
      </w:r>
      <w:r>
        <w:rPr>
          <w:rFonts w:hint="eastAsia" w:eastAsia="宋体" w:cs="Arial"/>
          <w:sz w:val="24"/>
          <w:highlight w:val="none"/>
          <w:lang w:val="en-US" w:eastAsia="zh-CN"/>
        </w:rPr>
        <w:t>.14.3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this contribution, we discussed the dynamic range for LP-WUS and the impact of LP-WUS power boosting.</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spacing w:after="157" w:afterLines="50" w:line="240" w:lineRule="auto"/>
        <w:jc w:val="both"/>
        <w:textAlignment w:val="auto"/>
        <w:outlineLvl w:val="1"/>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2.1 Definition of Dynamic Range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cs="Times New Roman"/>
          <w:b w:val="0"/>
          <w:bCs w:val="0"/>
          <w:i w:val="0"/>
          <w:iCs w:val="0"/>
          <w:sz w:val="20"/>
          <w:szCs w:val="20"/>
          <w:highlight w:val="none"/>
          <w:lang w:val="en-US" w:eastAsia="zh-CN"/>
        </w:rPr>
        <w:t>In last meeting, RAN4 discussed the definition of dynamic range of LP-WUS and achieved a preliminary consensus of the concept of LP-WUS as follows under the assumption that (1) the transmission power is shared between NR OFDM signal and NR LP-WUS for the same carrier, and (2) the rated carrier output power and rated total output power are not changed with LP-WUS power boosting[1].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Concept of LP-WUS dynamic range/power boosting is considered as starting point</w:t>
            </w:r>
          </w:p>
          <w:p>
            <w:pPr>
              <w:pStyle w:val="29"/>
              <w:keepNext w:val="0"/>
              <w:keepLines w:val="0"/>
              <w:pageBreakBefore w:val="0"/>
              <w:widowControl w:val="0"/>
              <w:numPr>
                <w:ilvl w:val="1"/>
                <w:numId w:val="4"/>
              </w:numPr>
              <w:kinsoku/>
              <w:wordWrap/>
              <w:overflowPunct/>
              <w:topLinePunct w:val="0"/>
              <w:autoSpaceDE/>
              <w:autoSpaceDN/>
              <w:bidi w:val="0"/>
              <w:adjustRightInd/>
              <w:snapToGrid w:val="0"/>
              <w:spacing w:after="0" w:line="240" w:lineRule="auto"/>
              <w:ind w:left="618" w:firstLine="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 xml:space="preserve">In our understanding, before we discuss the dynamic range of LP-WUS, it is important to declare its definition first to avoid different understanding, and these two assumptions are necessary when analyzing dynamic range. We propose to keep current concept of LP-WUS dynamic range/power boosting for later discussion, and it is okay to revise some wording if necessary when we finally finish the whole discussion and add it into current spec.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 xml:space="preserve">Proposal 1: Keep current concept of LP-WUS dynamic range/power boosting for later discussion: </w:t>
      </w:r>
      <w:r>
        <w:rPr>
          <w:rFonts w:hint="default" w:ascii="Times New Roman" w:hAnsi="Times New Roman" w:cs="Times New Roman"/>
          <w:b/>
          <w:bCs w:val="0"/>
          <w:sz w:val="20"/>
          <w:szCs w:val="20"/>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pPr>
        <w:keepNext w:val="0"/>
        <w:keepLines w:val="0"/>
        <w:pageBreakBefore w:val="0"/>
        <w:widowControl/>
        <w:kinsoku/>
        <w:wordWrap/>
        <w:overflowPunct/>
        <w:topLinePunct w:val="0"/>
        <w:autoSpaceDE/>
        <w:autoSpaceDN/>
        <w:bidi w:val="0"/>
        <w:adjustRightInd/>
        <w:snapToGrid/>
        <w:spacing w:after="157" w:afterLines="50" w:line="240" w:lineRule="auto"/>
        <w:jc w:val="both"/>
        <w:textAlignment w:val="auto"/>
        <w:outlineLvl w:val="1"/>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2.2 Power Boosting of LP-WUS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As shown in section 2.1, the transmit power is shared between NR OFDM signal and NR LP-WUS for the same carrier and the total transmit power is fixed. Therefore, when the power of LP-WUS is boosted, the power of NR signal will be decreased. In our previous contribution [2], we have shown the power degradation of NR signal with different channel bandwidth </w:t>
      </w:r>
      <w:r>
        <w:rPr>
          <w:rFonts w:hint="eastAsia" w:eastAsia="Batang" w:cs="Times New Roman"/>
          <w:i w:val="0"/>
          <w:iCs w:val="0"/>
          <w:sz w:val="20"/>
          <w:szCs w:val="20"/>
          <w:lang w:val="en-US" w:eastAsia="zh-CN"/>
        </w:rPr>
        <w:t>when the power of LP-WUS is boosted by 3 dB and 6dB</w:t>
      </w:r>
      <w:r>
        <w:rPr>
          <w:rFonts w:hint="eastAsia" w:cs="Times New Roman"/>
          <w:b w:val="0"/>
          <w:bCs w:val="0"/>
          <w:i w:val="0"/>
          <w:iCs w:val="0"/>
          <w:sz w:val="20"/>
          <w:szCs w:val="20"/>
          <w:highlight w:val="none"/>
          <w:lang w:val="en-US" w:eastAsia="zh-CN"/>
        </w:rPr>
        <w:t xml:space="preserve">, which is </w:t>
      </w:r>
      <w:r>
        <w:t>quoted below</w:t>
      </w:r>
      <w:r>
        <w:rPr>
          <w:rFonts w:hint="eastAsia" w:eastAsia="宋体"/>
          <w:lang w:val="en-US" w:eastAsia="zh-CN"/>
        </w:rPr>
        <w:t xml:space="preserve"> in Table 1</w:t>
      </w:r>
      <w:r>
        <w:rPr>
          <w:rFonts w:hint="eastAsia" w:cs="Times New Roman"/>
          <w:b w:val="0"/>
          <w:bCs w:val="0"/>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spacing w:line="276" w:lineRule="auto"/>
        <w:jc w:val="center"/>
        <w:textAlignment w:val="auto"/>
        <w:rPr>
          <w:rFonts w:hint="eastAsia" w:cs="Times New Roman"/>
          <w:i w:val="0"/>
          <w:iCs w:val="0"/>
          <w:sz w:val="20"/>
          <w:szCs w:val="20"/>
          <w:highlight w:val="none"/>
          <w:lang w:val="en-US" w:eastAsia="zh-CN"/>
        </w:rPr>
      </w:pPr>
      <w:r>
        <w:rPr>
          <w:rFonts w:hint="eastAsia" w:ascii="Times" w:hAnsi="Times" w:eastAsia="Batang"/>
          <w:b/>
          <w:bCs/>
          <w:i w:val="0"/>
          <w:iCs w:val="0"/>
          <w:sz w:val="20"/>
          <w:szCs w:val="20"/>
          <w:lang w:val="en-US" w:eastAsia="zh-CN"/>
        </w:rPr>
        <w:t>Table 1  T</w:t>
      </w:r>
      <w:r>
        <w:rPr>
          <w:rFonts w:hint="eastAsia" w:eastAsia="Batang" w:cs="Times New Roman"/>
          <w:b/>
          <w:bCs/>
          <w:i w:val="0"/>
          <w:iCs w:val="0"/>
          <w:sz w:val="20"/>
          <w:szCs w:val="20"/>
          <w:lang w:val="en-US" w:eastAsia="zh-CN"/>
        </w:rPr>
        <w:t>he power degradation of NR signal with different channel bandwidth</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937"/>
        <w:gridCol w:w="882"/>
        <w:gridCol w:w="767"/>
        <w:gridCol w:w="1080"/>
        <w:gridCol w:w="2025"/>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Declared BS</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power (dBm)</w:t>
            </w:r>
          </w:p>
        </w:tc>
        <w:tc>
          <w:tcPr>
            <w:tcW w:w="937"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CBW</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(MHz)</w:t>
            </w:r>
          </w:p>
        </w:tc>
        <w:tc>
          <w:tcPr>
            <w:tcW w:w="882"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SCS</w:t>
            </w:r>
          </w:p>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(kHz)</w:t>
            </w:r>
          </w:p>
        </w:tc>
        <w:tc>
          <w:tcPr>
            <w:tcW w:w="767"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N_RB</w:t>
            </w:r>
          </w:p>
        </w:tc>
        <w:tc>
          <w:tcPr>
            <w:tcW w:w="1080"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LP-WUS RB</w:t>
            </w:r>
          </w:p>
        </w:tc>
        <w:tc>
          <w:tcPr>
            <w:tcW w:w="4086" w:type="dxa"/>
            <w:gridSpan w:val="2"/>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NR power degradation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93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882"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767"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1080"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b/>
                <w:bCs/>
                <w:i w:val="0"/>
                <w:iCs w:val="0"/>
                <w:sz w:val="20"/>
                <w:szCs w:val="20"/>
                <w:vertAlign w:val="baseline"/>
                <w:lang w:val="en-US" w:eastAsia="zh-CN"/>
              </w:rPr>
            </w:pPr>
            <w:r>
              <w:rPr>
                <w:rFonts w:hint="eastAsia" w:ascii="Times" w:hAnsi="Times" w:eastAsia="Batang"/>
                <w:b/>
                <w:bCs/>
                <w:i w:val="0"/>
                <w:iCs w:val="0"/>
                <w:sz w:val="20"/>
                <w:szCs w:val="20"/>
                <w:vertAlign w:val="baseline"/>
                <w:lang w:val="en-US" w:eastAsia="zh-CN"/>
              </w:rPr>
              <w:t>WUS Boosting 3dB</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cs="Times New Roman"/>
                <w:b/>
                <w:bCs/>
                <w:i w:val="0"/>
                <w:iCs w:val="0"/>
                <w:kern w:val="2"/>
                <w:sz w:val="20"/>
                <w:szCs w:val="20"/>
                <w:vertAlign w:val="baseline"/>
                <w:lang w:val="en-US" w:eastAsia="zh-CN" w:bidi="ar-SA"/>
              </w:rPr>
            </w:pPr>
            <w:r>
              <w:rPr>
                <w:rFonts w:hint="eastAsia" w:ascii="Times" w:hAnsi="Times" w:eastAsia="Batang"/>
                <w:b/>
                <w:bCs/>
                <w:i w:val="0"/>
                <w:iCs w:val="0"/>
                <w:sz w:val="20"/>
                <w:szCs w:val="20"/>
                <w:vertAlign w:val="baseline"/>
                <w:lang w:val="en-US" w:eastAsia="zh-CN"/>
              </w:rPr>
              <w:t>WUS Boosting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46</w:t>
            </w: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25</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X</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52</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10.20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79</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2.60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106</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1.60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133</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1.10</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160</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0.77</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188</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auto"/>
                <w:sz w:val="20"/>
                <w:szCs w:val="20"/>
                <w:vertAlign w:val="baseline"/>
                <w:lang w:val="en-US" w:eastAsia="zh-CN"/>
              </w:rPr>
            </w:pPr>
            <w:r>
              <w:rPr>
                <w:rFonts w:hint="eastAsia" w:ascii="Times" w:hAnsi="Times" w:eastAsia="Batang"/>
                <w:i w:val="0"/>
                <w:iCs w:val="0"/>
                <w:color w:val="auto"/>
                <w:sz w:val="20"/>
                <w:szCs w:val="20"/>
                <w:vertAlign w:val="baseline"/>
                <w:lang w:val="en-US" w:eastAsia="zh-CN"/>
              </w:rPr>
              <w:t>0.62</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color w:val="FF0000"/>
                <w:sz w:val="20"/>
                <w:szCs w:val="20"/>
                <w:vertAlign w:val="baseline"/>
                <w:lang w:val="en-US" w:eastAsia="zh-CN"/>
              </w:rPr>
            </w:pPr>
            <w:r>
              <w:rPr>
                <w:rFonts w:hint="eastAsia" w:ascii="Times" w:hAnsi="Times" w:eastAsia="Batang"/>
                <w:i w:val="0"/>
                <w:iCs w:val="0"/>
                <w:color w:val="auto"/>
                <w:sz w:val="20"/>
                <w:szCs w:val="20"/>
                <w:vertAlign w:val="baseline"/>
                <w:lang w:val="en-US" w:eastAsia="zh-CN"/>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216</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0.58</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45</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242</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0.48</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50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270</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0.45</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60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162</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0.39</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70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189</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0.29</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80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217</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0.27</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90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245</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0.21</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continue"/>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eastAsia" w:ascii="Times" w:hAnsi="Times" w:eastAsia="Batang"/>
                <w:i w:val="0"/>
                <w:iCs w:val="0"/>
                <w:sz w:val="20"/>
                <w:szCs w:val="20"/>
                <w:vertAlign w:val="baseline"/>
                <w:lang w:val="en-US" w:eastAsia="zh-CN"/>
              </w:rPr>
            </w:pPr>
          </w:p>
        </w:tc>
        <w:tc>
          <w:tcPr>
            <w:tcW w:w="93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100</w:t>
            </w:r>
          </w:p>
        </w:tc>
        <w:tc>
          <w:tcPr>
            <w:tcW w:w="882"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30</w:t>
            </w:r>
          </w:p>
        </w:tc>
        <w:tc>
          <w:tcPr>
            <w:tcW w:w="767"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273</w:t>
            </w:r>
          </w:p>
        </w:tc>
        <w:tc>
          <w:tcPr>
            <w:tcW w:w="1080"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12</w:t>
            </w:r>
          </w:p>
        </w:tc>
        <w:tc>
          <w:tcPr>
            <w:tcW w:w="2025"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0.19</w:t>
            </w:r>
          </w:p>
        </w:tc>
        <w:tc>
          <w:tcPr>
            <w:tcW w:w="2061" w:type="dxa"/>
            <w:vAlign w:val="center"/>
          </w:tcPr>
          <w:p>
            <w:pPr>
              <w:keepNext w:val="0"/>
              <w:keepLines w:val="0"/>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Times" w:hAnsi="Times" w:eastAsia="Batang"/>
                <w:i w:val="0"/>
                <w:iCs w:val="0"/>
                <w:sz w:val="20"/>
                <w:szCs w:val="20"/>
                <w:vertAlign w:val="baseline"/>
                <w:lang w:val="en-US" w:eastAsia="zh-CN"/>
              </w:rPr>
            </w:pPr>
            <w:r>
              <w:rPr>
                <w:rFonts w:hint="eastAsia" w:ascii="Times" w:hAnsi="Times" w:eastAsia="Batang"/>
                <w:i w:val="0"/>
                <w:iCs w:val="0"/>
                <w:sz w:val="20"/>
                <w:szCs w:val="20"/>
                <w:vertAlign w:val="baseline"/>
                <w:lang w:val="en-US" w:eastAsia="zh-CN"/>
              </w:rPr>
              <w:t>0.62</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Usually, the power degradation of NR signal is unwanted because of the reduction of coverage and deterioration of signal quality. Especially when channel bandwidth is narrow, the power degradation of NR signal is unacceptable. For wider channel bandwidth, although the power degradation of NR signal can be a little lighter</w:t>
      </w:r>
      <w:bookmarkStart w:id="0" w:name="_GoBack"/>
      <w:bookmarkEnd w:id="0"/>
      <w:r>
        <w:rPr>
          <w:rFonts w:hint="eastAsia" w:cs="Times New Roman"/>
          <w:b w:val="0"/>
          <w:bCs w:val="0"/>
          <w:i w:val="0"/>
          <w:iCs w:val="0"/>
          <w:sz w:val="20"/>
          <w:szCs w:val="20"/>
          <w:highlight w:val="none"/>
          <w:lang w:val="en-US" w:eastAsia="zh-CN"/>
        </w:rPr>
        <w:t xml:space="preserve">, the out-of-band emission deterioration caused by LP-WUS power boosting becomes more obvious, as shown in Fig. 1[2]. </w:t>
      </w:r>
    </w:p>
    <w:p>
      <w:pPr>
        <w:keepNext w:val="0"/>
        <w:keepLines w:val="0"/>
        <w:widowControl/>
        <w:suppressLineNumbers w:val="0"/>
        <w:jc w:val="center"/>
        <w:rPr>
          <w:rFonts w:ascii="宋体" w:hAnsi="宋体" w:eastAsia="宋体" w:cs="宋体"/>
          <w:kern w:val="0"/>
          <w:sz w:val="24"/>
          <w:szCs w:val="24"/>
          <w:lang w:val="en-US" w:eastAsia="zh-CN" w:bidi="ar"/>
        </w:rPr>
      </w:pPr>
      <w:r>
        <w:drawing>
          <wp:inline distT="0" distB="0" distL="114300" distR="114300">
            <wp:extent cx="3150870" cy="2543810"/>
            <wp:effectExtent l="0" t="0" r="3810"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3150870" cy="25438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2  The effect of LP-WUS power boosting on out-of-band emission.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As discussed above, the level of LP-WUS power boosting depends on BS implementation. Therefore, we propose to set the LP-WUS a complete manufacture declaration feature, including whether supporting LP-WUS power boosting and the boosting level supported.</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Set the LP-WUS power boosting a complete manufacture declaration feature, including whether supporting LP-WUS power boosting and the supported boosting level.</w:t>
      </w:r>
    </w:p>
    <w:p>
      <w:pPr>
        <w:keepNext w:val="0"/>
        <w:keepLines w:val="0"/>
        <w:pageBreakBefore w:val="0"/>
        <w:widowControl/>
        <w:kinsoku/>
        <w:wordWrap/>
        <w:overflowPunct/>
        <w:topLinePunct w:val="0"/>
        <w:autoSpaceDE/>
        <w:autoSpaceDN/>
        <w:bidi w:val="0"/>
        <w:adjustRightInd/>
        <w:snapToGrid/>
        <w:spacing w:after="157" w:afterLines="50" w:line="240" w:lineRule="auto"/>
        <w:jc w:val="both"/>
        <w:textAlignment w:val="auto"/>
        <w:outlineLvl w:val="1"/>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2.3 Applicable BS Types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Currently in TS38.104, only BS Type 1-C supports </w:t>
      </w:r>
      <w:r>
        <w:rPr>
          <w:rFonts w:hint="default" w:cs="Times New Roman"/>
          <w:b w:val="0"/>
          <w:bCs w:val="0"/>
          <w:i w:val="0"/>
          <w:iCs w:val="0"/>
          <w:sz w:val="20"/>
          <w:szCs w:val="20"/>
          <w:highlight w:val="none"/>
          <w:lang w:val="en-US" w:eastAsia="zh-CN"/>
        </w:rPr>
        <w:t>NR with in-band NB-</w:t>
      </w:r>
      <w:r>
        <w:rPr>
          <w:rFonts w:hint="eastAsia" w:cs="Times New Roman"/>
          <w:b w:val="0"/>
          <w:bCs w:val="0"/>
          <w:i w:val="0"/>
          <w:iCs w:val="0"/>
          <w:sz w:val="20"/>
          <w:szCs w:val="20"/>
          <w:highlight w:val="none"/>
          <w:lang w:val="en-US" w:eastAsia="zh-CN"/>
        </w:rPr>
        <w:t>IoT</w:t>
      </w:r>
      <w:r>
        <w:rPr>
          <w:rFonts w:hint="default" w:cs="Times New Roman"/>
          <w:b w:val="0"/>
          <w:bCs w:val="0"/>
          <w:i w:val="0"/>
          <w:iCs w:val="0"/>
          <w:sz w:val="20"/>
          <w:szCs w:val="20"/>
          <w:highlight w:val="none"/>
          <w:lang w:val="en-US" w:eastAsia="zh-CN"/>
        </w:rPr>
        <w:t xml:space="preserve"> operation</w:t>
      </w:r>
      <w:r>
        <w:rPr>
          <w:rFonts w:hint="eastAsia" w:cs="Times New Roman"/>
          <w:b w:val="0"/>
          <w:bCs w:val="0"/>
          <w:i w:val="0"/>
          <w:iCs w:val="0"/>
          <w:sz w:val="20"/>
          <w:szCs w:val="20"/>
          <w:highlight w:val="none"/>
          <w:lang w:val="en-US" w:eastAsia="zh-CN"/>
        </w:rPr>
        <w:t xml:space="preserve">[1]. BS Type 1-H and BS Type 1-O are excluded considering the power consumption issue. When it comes to LP-WUS, more PRBs (for example 11 or 12 PRBs for 30kHz SCS) compared to NB-IoT with single PRB are configured, which means that power boosting on more PRBs should be considered.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As we discussed in the last meeting, it is a consensus that the rated carrier output power and rated total output power are not changed with LP-WUS power boosting and the transmission power is shared between NR OFDM signal and NR LP-WUS, which is similar to NB-IoT in [1]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2"/>
              <w:keepNext w:val="0"/>
              <w:keepLines/>
              <w:pageBreakBefore w:val="0"/>
              <w:widowControl/>
              <w:kinsoku/>
              <w:wordWrap/>
              <w:overflowPunct w:val="0"/>
              <w:topLinePunct w:val="0"/>
              <w:autoSpaceDE w:val="0"/>
              <w:autoSpaceDN w:val="0"/>
              <w:bidi w:val="0"/>
              <w:adjustRightInd w:val="0"/>
              <w:snapToGrid w:val="0"/>
              <w:spacing w:after="157" w:afterLines="50" w:line="240" w:lineRule="auto"/>
              <w:ind w:left="800" w:leftChars="0" w:hanging="850" w:firstLineChars="0"/>
              <w:textAlignment w:val="baseline"/>
              <w:rPr>
                <w:rFonts w:hint="eastAsia" w:cs="Times New Roman"/>
                <w:b w:val="0"/>
                <w:bCs w:val="0"/>
                <w:i w:val="0"/>
                <w:iCs w:val="0"/>
                <w:sz w:val="20"/>
                <w:szCs w:val="20"/>
                <w:highlight w:val="none"/>
                <w:vertAlign w:val="baseline"/>
                <w:lang w:val="en-US" w:eastAsia="zh-CN"/>
              </w:rPr>
            </w:pPr>
            <w:r>
              <w:rPr>
                <w:rFonts w:hint="default" w:ascii="Times New Roman" w:hAnsi="Times New Roman" w:cs="Times New Roman"/>
                <w:snapToGrid w:val="0"/>
                <w:highlight w:val="none"/>
              </w:rPr>
              <w:t>NOTE:</w:t>
            </w:r>
            <w:r>
              <w:rPr>
                <w:rFonts w:hint="default" w:ascii="Times New Roman" w:hAnsi="Times New Roman" w:cs="Times New Roman"/>
                <w:highlight w:val="none"/>
              </w:rPr>
              <w:tab/>
            </w:r>
            <w:r>
              <w:rPr>
                <w:rFonts w:hint="default" w:ascii="Times New Roman" w:hAnsi="Times New Roman" w:cs="Times New Roman"/>
                <w:snapToGrid w:val="0"/>
                <w:highlight w:val="none"/>
              </w:rPr>
              <w:t xml:space="preserve">For NB-IoT operation in NR in-band, the NR carrier and NB-IoT carrier shall be seen as a single carrier occupied NR channel bandwidth, the output power over this carrier is shared between NR and NB-IoT. This note shall apply for </w:t>
            </w:r>
            <w:r>
              <w:rPr>
                <w:rFonts w:hint="default" w:ascii="Times New Roman" w:hAnsi="Times New Roman" w:cs="Times New Roman"/>
                <w:highlight w:val="none"/>
              </w:rPr>
              <w:t>P</w:t>
            </w:r>
            <w:r>
              <w:rPr>
                <w:rFonts w:hint="default" w:ascii="Times New Roman" w:hAnsi="Times New Roman" w:cs="Times New Roman"/>
                <w:highlight w:val="none"/>
                <w:vertAlign w:val="subscript"/>
              </w:rPr>
              <w:t xml:space="preserve">max,c,AC </w:t>
            </w:r>
            <w:r>
              <w:rPr>
                <w:rFonts w:hint="default" w:ascii="Times New Roman" w:hAnsi="Times New Roman" w:cs="Times New Roman"/>
                <w:highlight w:val="none"/>
              </w:rPr>
              <w:t>and</w:t>
            </w:r>
            <w:r>
              <w:rPr>
                <w:rFonts w:hint="default" w:ascii="Times New Roman" w:hAnsi="Times New Roman" w:cs="Times New Roman"/>
                <w:highlight w:val="none"/>
                <w:vertAlign w:val="subscript"/>
              </w:rPr>
              <w:t xml:space="preserve"> </w:t>
            </w:r>
            <w:r>
              <w:rPr>
                <w:rFonts w:hint="default" w:ascii="Times New Roman" w:hAnsi="Times New Roman" w:cs="Times New Roman"/>
                <w:highlight w:val="none"/>
              </w:rPr>
              <w:t>P</w:t>
            </w:r>
            <w:r>
              <w:rPr>
                <w:rFonts w:hint="default" w:ascii="Times New Roman" w:hAnsi="Times New Roman" w:cs="Times New Roman"/>
                <w:highlight w:val="none"/>
                <w:vertAlign w:val="subscript"/>
              </w:rPr>
              <w:t>rated,c,AC</w:t>
            </w:r>
            <w:r>
              <w:rPr>
                <w:rFonts w:hint="default" w:ascii="Times New Roman" w:hAnsi="Times New Roman" w:cs="Times New Roman"/>
                <w:snapToGrid w:val="0"/>
                <w:highlight w:val="none"/>
              </w:rPr>
              <w:t>.</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Just like that in NB-IoT discussion, it is necessary to discuss which type of BS is able to support LP-WUS with some level of power boosting.</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RAN4 needs to discuss which type of BS is able to support LP-WUS with some level of power boosting.</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val="0"/>
          <w:sz w:val="20"/>
          <w:szCs w:val="20"/>
          <w:lang w:eastAsia="zh-CN"/>
        </w:rPr>
      </w:pPr>
      <w:r>
        <w:rPr>
          <w:rFonts w:hint="eastAsia"/>
          <w:b/>
          <w:bCs w:val="0"/>
          <w:i w:val="0"/>
          <w:iCs w:val="0"/>
          <w:color w:val="auto"/>
          <w:kern w:val="0"/>
          <w:sz w:val="20"/>
          <w:szCs w:val="20"/>
          <w:highlight w:val="none"/>
          <w:vertAlign w:val="baseline"/>
          <w:lang w:val="en-US" w:eastAsia="zh-CN"/>
        </w:rPr>
        <w:t xml:space="preserve">Proposal 1: Keep current concept of LP-WUS dynamic range/power boosting for later discussion: </w:t>
      </w:r>
      <w:r>
        <w:rPr>
          <w:rFonts w:hint="default" w:ascii="Times New Roman" w:hAnsi="Times New Roman" w:cs="Times New Roman"/>
          <w:b/>
          <w:bCs w:val="0"/>
          <w:sz w:val="20"/>
          <w:szCs w:val="20"/>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Set the LP-WUS power boosting a complete manufacture declaration feature, including whether supporting LP-WUS power boosting and the supported boosting level.</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val="0"/>
          <w:sz w:val="20"/>
          <w:szCs w:val="20"/>
          <w:lang w:val="en-US" w:eastAsia="zh-CN"/>
        </w:rPr>
      </w:pPr>
      <w:r>
        <w:rPr>
          <w:rFonts w:hint="eastAsia" w:cs="Times New Roman"/>
          <w:b/>
          <w:bCs/>
          <w:i w:val="0"/>
          <w:iCs w:val="0"/>
          <w:sz w:val="20"/>
          <w:szCs w:val="20"/>
          <w:highlight w:val="none"/>
          <w:lang w:val="en-US" w:eastAsia="zh-CN"/>
        </w:rPr>
        <w:t>Proposal 3: RAN4 needs to discuss which type of BS is able to support LP-WUS with some level of power boosting.</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0" w:line="240" w:lineRule="auto"/>
        <w:ind w:left="0" w:leftChars="0" w:firstLine="0" w:firstLineChars="0"/>
        <w:textAlignment w:val="auto"/>
        <w:rPr>
          <w:rFonts w:ascii="Times New Roman" w:hAnsi="Times New Roman"/>
          <w:sz w:val="20"/>
          <w:szCs w:val="20"/>
        </w:rPr>
      </w:pPr>
      <w:r>
        <w:rPr>
          <w:rFonts w:hint="eastAsia"/>
          <w:sz w:val="20"/>
          <w:szCs w:val="20"/>
          <w:lang w:val="en-US" w:eastAsia="zh-CN"/>
        </w:rPr>
        <w:t>R4-2406140 Way Forward for [110bis][314] NR_LPWUS, RAN4#110bis, Changsha, China, Apr.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 xml:space="preserve">R4-2405120 </w:t>
      </w:r>
      <w:r>
        <w:rPr>
          <w:rFonts w:hint="default"/>
          <w:sz w:val="20"/>
          <w:szCs w:val="20"/>
          <w:lang w:val="en-US" w:eastAsia="zh-CN"/>
        </w:rPr>
        <w:t>Discussion on</w:t>
      </w:r>
      <w:r>
        <w:rPr>
          <w:rFonts w:hint="eastAsia"/>
          <w:sz w:val="20"/>
          <w:szCs w:val="20"/>
          <w:lang w:val="en-US" w:eastAsia="zh-CN"/>
        </w:rPr>
        <w:t xml:space="preserve"> BS RF requirements for LP-WUS/WUR, RAN4#110bis, ZTE, Changsha, China, Apr.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TS38.104, v18.5.0</w:t>
      </w:r>
    </w:p>
    <w:p>
      <w:pPr>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53531E"/>
    <w:rsid w:val="01624027"/>
    <w:rsid w:val="01633D2A"/>
    <w:rsid w:val="0165337E"/>
    <w:rsid w:val="01795E27"/>
    <w:rsid w:val="0180738E"/>
    <w:rsid w:val="018A2647"/>
    <w:rsid w:val="018B3BAA"/>
    <w:rsid w:val="01945324"/>
    <w:rsid w:val="01957959"/>
    <w:rsid w:val="01BA0053"/>
    <w:rsid w:val="01CA556D"/>
    <w:rsid w:val="01DC1C82"/>
    <w:rsid w:val="01DC200E"/>
    <w:rsid w:val="01F86CD9"/>
    <w:rsid w:val="01FF4EDD"/>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221BB"/>
    <w:rsid w:val="042B1DF5"/>
    <w:rsid w:val="043D2559"/>
    <w:rsid w:val="045D198A"/>
    <w:rsid w:val="046824A8"/>
    <w:rsid w:val="0478015E"/>
    <w:rsid w:val="04865F4C"/>
    <w:rsid w:val="049C47B9"/>
    <w:rsid w:val="04B43FA7"/>
    <w:rsid w:val="04BF26EE"/>
    <w:rsid w:val="04D16755"/>
    <w:rsid w:val="04D20004"/>
    <w:rsid w:val="04E54CF2"/>
    <w:rsid w:val="04EB6A3A"/>
    <w:rsid w:val="04F31B7C"/>
    <w:rsid w:val="04F46C46"/>
    <w:rsid w:val="04FC2C75"/>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A5F1C"/>
    <w:rsid w:val="07521F93"/>
    <w:rsid w:val="07622262"/>
    <w:rsid w:val="078F46FE"/>
    <w:rsid w:val="0793078D"/>
    <w:rsid w:val="07970803"/>
    <w:rsid w:val="07A9337A"/>
    <w:rsid w:val="07AB0366"/>
    <w:rsid w:val="07BA2D18"/>
    <w:rsid w:val="07BF78DC"/>
    <w:rsid w:val="07CD3CDD"/>
    <w:rsid w:val="07E96697"/>
    <w:rsid w:val="0818374A"/>
    <w:rsid w:val="08315282"/>
    <w:rsid w:val="085145EC"/>
    <w:rsid w:val="085C2CEC"/>
    <w:rsid w:val="085D2367"/>
    <w:rsid w:val="085E5DBE"/>
    <w:rsid w:val="08721912"/>
    <w:rsid w:val="087B0F4C"/>
    <w:rsid w:val="087C4EF8"/>
    <w:rsid w:val="088467B6"/>
    <w:rsid w:val="08AD5856"/>
    <w:rsid w:val="08C13553"/>
    <w:rsid w:val="08C3786B"/>
    <w:rsid w:val="08C71DC3"/>
    <w:rsid w:val="08CA745A"/>
    <w:rsid w:val="08D538D0"/>
    <w:rsid w:val="08E37BAD"/>
    <w:rsid w:val="08EE2ED2"/>
    <w:rsid w:val="08F869E1"/>
    <w:rsid w:val="08FB28C9"/>
    <w:rsid w:val="090F5236"/>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B6F30"/>
    <w:rsid w:val="0A616EBE"/>
    <w:rsid w:val="0A665D1E"/>
    <w:rsid w:val="0A731B50"/>
    <w:rsid w:val="0A8D4756"/>
    <w:rsid w:val="0A8E34E6"/>
    <w:rsid w:val="0AB60DEE"/>
    <w:rsid w:val="0AC9278E"/>
    <w:rsid w:val="0B1A3243"/>
    <w:rsid w:val="0B2E106F"/>
    <w:rsid w:val="0B2F5F6B"/>
    <w:rsid w:val="0B3E5ECD"/>
    <w:rsid w:val="0B5950D6"/>
    <w:rsid w:val="0B61638C"/>
    <w:rsid w:val="0B724963"/>
    <w:rsid w:val="0B725220"/>
    <w:rsid w:val="0B7D64C0"/>
    <w:rsid w:val="0B802D0D"/>
    <w:rsid w:val="0B846E46"/>
    <w:rsid w:val="0B8D5FD9"/>
    <w:rsid w:val="0B9641FD"/>
    <w:rsid w:val="0B9A6376"/>
    <w:rsid w:val="0B9C3E91"/>
    <w:rsid w:val="0BC176FB"/>
    <w:rsid w:val="0BF37D09"/>
    <w:rsid w:val="0BF41031"/>
    <w:rsid w:val="0C0C5682"/>
    <w:rsid w:val="0C1D57F9"/>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F721A8"/>
    <w:rsid w:val="0FFA1150"/>
    <w:rsid w:val="10490BAD"/>
    <w:rsid w:val="106C0466"/>
    <w:rsid w:val="108F05CA"/>
    <w:rsid w:val="109241A4"/>
    <w:rsid w:val="109615A9"/>
    <w:rsid w:val="109658C1"/>
    <w:rsid w:val="10A81A96"/>
    <w:rsid w:val="10D6699E"/>
    <w:rsid w:val="10E63E4A"/>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5D4125"/>
    <w:rsid w:val="12771554"/>
    <w:rsid w:val="12AA1F62"/>
    <w:rsid w:val="12AE4121"/>
    <w:rsid w:val="12B51A8D"/>
    <w:rsid w:val="12C041D4"/>
    <w:rsid w:val="12CF1D40"/>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07687"/>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6063FA"/>
    <w:rsid w:val="156F1F39"/>
    <w:rsid w:val="157674F6"/>
    <w:rsid w:val="157A419A"/>
    <w:rsid w:val="158270AF"/>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5A4276"/>
    <w:rsid w:val="1764674F"/>
    <w:rsid w:val="176C095E"/>
    <w:rsid w:val="178F5381"/>
    <w:rsid w:val="179855D1"/>
    <w:rsid w:val="179F1E7A"/>
    <w:rsid w:val="17A37760"/>
    <w:rsid w:val="17A613DC"/>
    <w:rsid w:val="17AA27DB"/>
    <w:rsid w:val="17AF2DFF"/>
    <w:rsid w:val="17B943BD"/>
    <w:rsid w:val="17C527E0"/>
    <w:rsid w:val="17DD5D9F"/>
    <w:rsid w:val="18072BBA"/>
    <w:rsid w:val="180B6554"/>
    <w:rsid w:val="1831099E"/>
    <w:rsid w:val="184061B8"/>
    <w:rsid w:val="184E13FF"/>
    <w:rsid w:val="18675E2F"/>
    <w:rsid w:val="186A7F3C"/>
    <w:rsid w:val="188A0D46"/>
    <w:rsid w:val="188D7449"/>
    <w:rsid w:val="189553E8"/>
    <w:rsid w:val="189A62E8"/>
    <w:rsid w:val="18AC426F"/>
    <w:rsid w:val="18D76F2C"/>
    <w:rsid w:val="18EF4764"/>
    <w:rsid w:val="18F062F7"/>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D5CFB"/>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D34730"/>
    <w:rsid w:val="1BDF455D"/>
    <w:rsid w:val="1BEE6734"/>
    <w:rsid w:val="1C1A373E"/>
    <w:rsid w:val="1C297CFC"/>
    <w:rsid w:val="1C3571F6"/>
    <w:rsid w:val="1C3672FA"/>
    <w:rsid w:val="1C3A751E"/>
    <w:rsid w:val="1C423FC4"/>
    <w:rsid w:val="1C47233F"/>
    <w:rsid w:val="1C5D00DA"/>
    <w:rsid w:val="1C7D0C1A"/>
    <w:rsid w:val="1C7E2DD6"/>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224F27"/>
    <w:rsid w:val="1E2A7432"/>
    <w:rsid w:val="1E343C5D"/>
    <w:rsid w:val="1E37411F"/>
    <w:rsid w:val="1E407993"/>
    <w:rsid w:val="1E5E301B"/>
    <w:rsid w:val="1E634732"/>
    <w:rsid w:val="1E752FA6"/>
    <w:rsid w:val="1ECF1323"/>
    <w:rsid w:val="1ECF4A99"/>
    <w:rsid w:val="1EDC33BC"/>
    <w:rsid w:val="1EF72D37"/>
    <w:rsid w:val="1F211865"/>
    <w:rsid w:val="1F295D72"/>
    <w:rsid w:val="1F4325C8"/>
    <w:rsid w:val="1F520B16"/>
    <w:rsid w:val="1F595BBB"/>
    <w:rsid w:val="1F7044DA"/>
    <w:rsid w:val="1F777E85"/>
    <w:rsid w:val="1F782E4D"/>
    <w:rsid w:val="1F7C7957"/>
    <w:rsid w:val="1FC127CE"/>
    <w:rsid w:val="1FD21E35"/>
    <w:rsid w:val="1FD96681"/>
    <w:rsid w:val="1FE10390"/>
    <w:rsid w:val="1FE73560"/>
    <w:rsid w:val="1FEE7A9C"/>
    <w:rsid w:val="200E58BD"/>
    <w:rsid w:val="2041466C"/>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92706"/>
    <w:rsid w:val="216D7544"/>
    <w:rsid w:val="21712A16"/>
    <w:rsid w:val="21825FF7"/>
    <w:rsid w:val="218E2266"/>
    <w:rsid w:val="21900AEB"/>
    <w:rsid w:val="2194776B"/>
    <w:rsid w:val="21B80AA5"/>
    <w:rsid w:val="21D2685E"/>
    <w:rsid w:val="2214054C"/>
    <w:rsid w:val="221703FC"/>
    <w:rsid w:val="222A0690"/>
    <w:rsid w:val="222A56CF"/>
    <w:rsid w:val="22305995"/>
    <w:rsid w:val="225216B5"/>
    <w:rsid w:val="225E20C5"/>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38587A"/>
    <w:rsid w:val="24386853"/>
    <w:rsid w:val="243E50DA"/>
    <w:rsid w:val="246D212F"/>
    <w:rsid w:val="24715F69"/>
    <w:rsid w:val="24760A5D"/>
    <w:rsid w:val="24992B5E"/>
    <w:rsid w:val="24A9218A"/>
    <w:rsid w:val="24B140D4"/>
    <w:rsid w:val="24B33FFF"/>
    <w:rsid w:val="24BE0177"/>
    <w:rsid w:val="24C569C9"/>
    <w:rsid w:val="24C93BBB"/>
    <w:rsid w:val="24DE7825"/>
    <w:rsid w:val="24E61F36"/>
    <w:rsid w:val="24F17095"/>
    <w:rsid w:val="24F214B5"/>
    <w:rsid w:val="24F35147"/>
    <w:rsid w:val="24F907DC"/>
    <w:rsid w:val="250D35C2"/>
    <w:rsid w:val="252437DA"/>
    <w:rsid w:val="252A03F9"/>
    <w:rsid w:val="25324A24"/>
    <w:rsid w:val="25560FB4"/>
    <w:rsid w:val="255B68D6"/>
    <w:rsid w:val="256271F2"/>
    <w:rsid w:val="256E3452"/>
    <w:rsid w:val="25821C68"/>
    <w:rsid w:val="25B022B3"/>
    <w:rsid w:val="25B74631"/>
    <w:rsid w:val="25B91E90"/>
    <w:rsid w:val="25DD4552"/>
    <w:rsid w:val="25E513D9"/>
    <w:rsid w:val="25EE6A79"/>
    <w:rsid w:val="25EF43C8"/>
    <w:rsid w:val="26075FA8"/>
    <w:rsid w:val="2623756A"/>
    <w:rsid w:val="262E08BF"/>
    <w:rsid w:val="26310EA6"/>
    <w:rsid w:val="263951B2"/>
    <w:rsid w:val="263E55AD"/>
    <w:rsid w:val="264B37D3"/>
    <w:rsid w:val="265B2B39"/>
    <w:rsid w:val="267F4FDD"/>
    <w:rsid w:val="26942FFE"/>
    <w:rsid w:val="26965DCF"/>
    <w:rsid w:val="269A23BD"/>
    <w:rsid w:val="26D16230"/>
    <w:rsid w:val="26D609E2"/>
    <w:rsid w:val="26DE1868"/>
    <w:rsid w:val="26ED14DB"/>
    <w:rsid w:val="270F3C75"/>
    <w:rsid w:val="27157D13"/>
    <w:rsid w:val="27543CE2"/>
    <w:rsid w:val="276136D1"/>
    <w:rsid w:val="2766357B"/>
    <w:rsid w:val="27814FF8"/>
    <w:rsid w:val="27885693"/>
    <w:rsid w:val="278E4856"/>
    <w:rsid w:val="27930B1B"/>
    <w:rsid w:val="27944036"/>
    <w:rsid w:val="279A6599"/>
    <w:rsid w:val="27A4419F"/>
    <w:rsid w:val="27A931B8"/>
    <w:rsid w:val="27AB7AFD"/>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50847"/>
    <w:rsid w:val="2A2B222C"/>
    <w:rsid w:val="2A331695"/>
    <w:rsid w:val="2A442E66"/>
    <w:rsid w:val="2A4A1ED4"/>
    <w:rsid w:val="2A553548"/>
    <w:rsid w:val="2A7049D1"/>
    <w:rsid w:val="2A970008"/>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C4D11"/>
    <w:rsid w:val="2C1A5D63"/>
    <w:rsid w:val="2C2907BF"/>
    <w:rsid w:val="2C2A3701"/>
    <w:rsid w:val="2C5A1C73"/>
    <w:rsid w:val="2C5A6041"/>
    <w:rsid w:val="2C7208C6"/>
    <w:rsid w:val="2C80477B"/>
    <w:rsid w:val="2C852D34"/>
    <w:rsid w:val="2C8F4F35"/>
    <w:rsid w:val="2CA73FE3"/>
    <w:rsid w:val="2CAD6FE3"/>
    <w:rsid w:val="2CC91D44"/>
    <w:rsid w:val="2CD46AFB"/>
    <w:rsid w:val="2CDC2898"/>
    <w:rsid w:val="2CE15438"/>
    <w:rsid w:val="2D151F6D"/>
    <w:rsid w:val="2D1D4166"/>
    <w:rsid w:val="2D291F09"/>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C79CF"/>
    <w:rsid w:val="2E1176AC"/>
    <w:rsid w:val="2E26750E"/>
    <w:rsid w:val="2E2701FF"/>
    <w:rsid w:val="2E273353"/>
    <w:rsid w:val="2E2D216F"/>
    <w:rsid w:val="2E434249"/>
    <w:rsid w:val="2E51332D"/>
    <w:rsid w:val="2E613ECA"/>
    <w:rsid w:val="2EA4705E"/>
    <w:rsid w:val="2EA5244A"/>
    <w:rsid w:val="2EC872A0"/>
    <w:rsid w:val="2ECB7AE0"/>
    <w:rsid w:val="2EE13DEB"/>
    <w:rsid w:val="2EEA1087"/>
    <w:rsid w:val="2EEF5B78"/>
    <w:rsid w:val="2EF90C24"/>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5AF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14D46"/>
    <w:rsid w:val="3162168B"/>
    <w:rsid w:val="316535BE"/>
    <w:rsid w:val="316C26E3"/>
    <w:rsid w:val="31B6217A"/>
    <w:rsid w:val="31BF532C"/>
    <w:rsid w:val="31E57565"/>
    <w:rsid w:val="31F27F9B"/>
    <w:rsid w:val="31F72F19"/>
    <w:rsid w:val="321A22CD"/>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21D18"/>
    <w:rsid w:val="33133DBA"/>
    <w:rsid w:val="33294831"/>
    <w:rsid w:val="332C5A43"/>
    <w:rsid w:val="33324BBF"/>
    <w:rsid w:val="334138EA"/>
    <w:rsid w:val="33491F36"/>
    <w:rsid w:val="3354569D"/>
    <w:rsid w:val="33664E15"/>
    <w:rsid w:val="336D5768"/>
    <w:rsid w:val="3373089A"/>
    <w:rsid w:val="33883009"/>
    <w:rsid w:val="33917AD8"/>
    <w:rsid w:val="339433F2"/>
    <w:rsid w:val="339F751B"/>
    <w:rsid w:val="33B2596A"/>
    <w:rsid w:val="33BF1A0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6C2BDC"/>
    <w:rsid w:val="346F0383"/>
    <w:rsid w:val="347A4842"/>
    <w:rsid w:val="347C1F8E"/>
    <w:rsid w:val="349A14CC"/>
    <w:rsid w:val="349E15E4"/>
    <w:rsid w:val="349E4539"/>
    <w:rsid w:val="349E7311"/>
    <w:rsid w:val="34AC3B1F"/>
    <w:rsid w:val="34DB4489"/>
    <w:rsid w:val="34E63221"/>
    <w:rsid w:val="34EA3595"/>
    <w:rsid w:val="34F31159"/>
    <w:rsid w:val="34F61BA3"/>
    <w:rsid w:val="35015811"/>
    <w:rsid w:val="35045109"/>
    <w:rsid w:val="35063773"/>
    <w:rsid w:val="350C0171"/>
    <w:rsid w:val="35314625"/>
    <w:rsid w:val="35544143"/>
    <w:rsid w:val="3557388E"/>
    <w:rsid w:val="35684E72"/>
    <w:rsid w:val="357201A0"/>
    <w:rsid w:val="35830EE1"/>
    <w:rsid w:val="35AE4747"/>
    <w:rsid w:val="35D34EB8"/>
    <w:rsid w:val="35D43768"/>
    <w:rsid w:val="35E71299"/>
    <w:rsid w:val="35E72F09"/>
    <w:rsid w:val="35F26505"/>
    <w:rsid w:val="35FD0561"/>
    <w:rsid w:val="361A0DD1"/>
    <w:rsid w:val="363A75C1"/>
    <w:rsid w:val="368E7AA5"/>
    <w:rsid w:val="36950F43"/>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C5E94"/>
    <w:rsid w:val="37D664EB"/>
    <w:rsid w:val="38012801"/>
    <w:rsid w:val="380A2593"/>
    <w:rsid w:val="380F4764"/>
    <w:rsid w:val="380F6191"/>
    <w:rsid w:val="38166E46"/>
    <w:rsid w:val="381A0093"/>
    <w:rsid w:val="383266B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A12E64"/>
    <w:rsid w:val="39AC270E"/>
    <w:rsid w:val="39BC72AB"/>
    <w:rsid w:val="39BF0DA5"/>
    <w:rsid w:val="39E030FB"/>
    <w:rsid w:val="39E551C2"/>
    <w:rsid w:val="3A004EFB"/>
    <w:rsid w:val="3A1D668F"/>
    <w:rsid w:val="3A280D85"/>
    <w:rsid w:val="3A5C417E"/>
    <w:rsid w:val="3A651C7C"/>
    <w:rsid w:val="3A8C19A6"/>
    <w:rsid w:val="3A985F9F"/>
    <w:rsid w:val="3A9D79B4"/>
    <w:rsid w:val="3AA60A47"/>
    <w:rsid w:val="3ABD7DB0"/>
    <w:rsid w:val="3ABE7AAF"/>
    <w:rsid w:val="3AC24EB4"/>
    <w:rsid w:val="3AC60874"/>
    <w:rsid w:val="3AC906BD"/>
    <w:rsid w:val="3AC909EA"/>
    <w:rsid w:val="3ACA79CB"/>
    <w:rsid w:val="3ACD696C"/>
    <w:rsid w:val="3AF15211"/>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42795C"/>
    <w:rsid w:val="3D5A19A0"/>
    <w:rsid w:val="3D5D4541"/>
    <w:rsid w:val="3D606F86"/>
    <w:rsid w:val="3D6F2596"/>
    <w:rsid w:val="3D753E3B"/>
    <w:rsid w:val="3D7961D3"/>
    <w:rsid w:val="3D8F6A91"/>
    <w:rsid w:val="3DAD0C31"/>
    <w:rsid w:val="3DBC7DE5"/>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38AE"/>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091D0E"/>
    <w:rsid w:val="40273EB3"/>
    <w:rsid w:val="402A0BEC"/>
    <w:rsid w:val="40385E0C"/>
    <w:rsid w:val="403917EB"/>
    <w:rsid w:val="404F7A6B"/>
    <w:rsid w:val="40592A16"/>
    <w:rsid w:val="406623B1"/>
    <w:rsid w:val="40674790"/>
    <w:rsid w:val="406B17E1"/>
    <w:rsid w:val="40705D5D"/>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C25CC7"/>
    <w:rsid w:val="42C843A0"/>
    <w:rsid w:val="42F20CDD"/>
    <w:rsid w:val="42F93C76"/>
    <w:rsid w:val="430831F4"/>
    <w:rsid w:val="43090B64"/>
    <w:rsid w:val="432E7531"/>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86B72"/>
    <w:rsid w:val="45ED56E7"/>
    <w:rsid w:val="45F60A50"/>
    <w:rsid w:val="46036BC7"/>
    <w:rsid w:val="461C511A"/>
    <w:rsid w:val="462778C6"/>
    <w:rsid w:val="46462F04"/>
    <w:rsid w:val="46545EC0"/>
    <w:rsid w:val="46554BE7"/>
    <w:rsid w:val="465B1E86"/>
    <w:rsid w:val="465E648A"/>
    <w:rsid w:val="46604D97"/>
    <w:rsid w:val="467847A0"/>
    <w:rsid w:val="46830DA3"/>
    <w:rsid w:val="4697740A"/>
    <w:rsid w:val="46C6208F"/>
    <w:rsid w:val="46DA12C7"/>
    <w:rsid w:val="46EF544C"/>
    <w:rsid w:val="46F714E0"/>
    <w:rsid w:val="46F91A62"/>
    <w:rsid w:val="471C6A14"/>
    <w:rsid w:val="473010D7"/>
    <w:rsid w:val="4732695E"/>
    <w:rsid w:val="47334610"/>
    <w:rsid w:val="4753781A"/>
    <w:rsid w:val="47927375"/>
    <w:rsid w:val="47971FDC"/>
    <w:rsid w:val="479D1728"/>
    <w:rsid w:val="47A928F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DE1DC6"/>
    <w:rsid w:val="48F82FC3"/>
    <w:rsid w:val="49095F7E"/>
    <w:rsid w:val="490D059B"/>
    <w:rsid w:val="490D3059"/>
    <w:rsid w:val="491C2233"/>
    <w:rsid w:val="492F6EA2"/>
    <w:rsid w:val="49317DE6"/>
    <w:rsid w:val="494A394A"/>
    <w:rsid w:val="494C1910"/>
    <w:rsid w:val="49500FEB"/>
    <w:rsid w:val="49751781"/>
    <w:rsid w:val="4976679A"/>
    <w:rsid w:val="4982678C"/>
    <w:rsid w:val="49982D33"/>
    <w:rsid w:val="499F4C2E"/>
    <w:rsid w:val="49C4340C"/>
    <w:rsid w:val="49C4368E"/>
    <w:rsid w:val="49C46503"/>
    <w:rsid w:val="49DD7EFB"/>
    <w:rsid w:val="49E077A2"/>
    <w:rsid w:val="49F32E1B"/>
    <w:rsid w:val="49F36AE3"/>
    <w:rsid w:val="49FF1C1E"/>
    <w:rsid w:val="4A0B7057"/>
    <w:rsid w:val="4A280667"/>
    <w:rsid w:val="4A325FE0"/>
    <w:rsid w:val="4A3845D4"/>
    <w:rsid w:val="4A495F41"/>
    <w:rsid w:val="4A511B6E"/>
    <w:rsid w:val="4A59738B"/>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1389"/>
    <w:rsid w:val="4B986207"/>
    <w:rsid w:val="4B987896"/>
    <w:rsid w:val="4B9969CA"/>
    <w:rsid w:val="4BA04F33"/>
    <w:rsid w:val="4BC05ECF"/>
    <w:rsid w:val="4BD05051"/>
    <w:rsid w:val="4BE44723"/>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2204B2"/>
    <w:rsid w:val="4D28720C"/>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1836CB"/>
    <w:rsid w:val="51394C04"/>
    <w:rsid w:val="513C5648"/>
    <w:rsid w:val="515143AB"/>
    <w:rsid w:val="515A17DC"/>
    <w:rsid w:val="51685DFA"/>
    <w:rsid w:val="51705953"/>
    <w:rsid w:val="51725D98"/>
    <w:rsid w:val="51736098"/>
    <w:rsid w:val="517B7B1C"/>
    <w:rsid w:val="518C69D5"/>
    <w:rsid w:val="51B14BED"/>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E2281"/>
    <w:rsid w:val="53793823"/>
    <w:rsid w:val="537B7A51"/>
    <w:rsid w:val="53851D77"/>
    <w:rsid w:val="53906F76"/>
    <w:rsid w:val="539874D1"/>
    <w:rsid w:val="53A900B3"/>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236DF"/>
    <w:rsid w:val="547B4986"/>
    <w:rsid w:val="54837C53"/>
    <w:rsid w:val="54944CE7"/>
    <w:rsid w:val="549555A5"/>
    <w:rsid w:val="54D62DF7"/>
    <w:rsid w:val="54E95C39"/>
    <w:rsid w:val="54F54ADE"/>
    <w:rsid w:val="54FC00A7"/>
    <w:rsid w:val="551B4BD7"/>
    <w:rsid w:val="552A54CB"/>
    <w:rsid w:val="553426D6"/>
    <w:rsid w:val="55436523"/>
    <w:rsid w:val="554575FA"/>
    <w:rsid w:val="55496DF8"/>
    <w:rsid w:val="554E1565"/>
    <w:rsid w:val="555125B1"/>
    <w:rsid w:val="55545557"/>
    <w:rsid w:val="556A455B"/>
    <w:rsid w:val="55852483"/>
    <w:rsid w:val="55AD541E"/>
    <w:rsid w:val="55B027EB"/>
    <w:rsid w:val="55BC338C"/>
    <w:rsid w:val="55C232F1"/>
    <w:rsid w:val="55CA20E9"/>
    <w:rsid w:val="55E12C81"/>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4A6CDD"/>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35D2C"/>
    <w:rsid w:val="592C48F9"/>
    <w:rsid w:val="593261D2"/>
    <w:rsid w:val="59423730"/>
    <w:rsid w:val="59453D6E"/>
    <w:rsid w:val="59506815"/>
    <w:rsid w:val="59517F98"/>
    <w:rsid w:val="59586CE1"/>
    <w:rsid w:val="595A6E9E"/>
    <w:rsid w:val="597E00DF"/>
    <w:rsid w:val="5980128D"/>
    <w:rsid w:val="59C61854"/>
    <w:rsid w:val="59E6424E"/>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373ECC"/>
    <w:rsid w:val="5B4026E8"/>
    <w:rsid w:val="5B4516CD"/>
    <w:rsid w:val="5B482E24"/>
    <w:rsid w:val="5B5A4228"/>
    <w:rsid w:val="5B686AC1"/>
    <w:rsid w:val="5B853A54"/>
    <w:rsid w:val="5B8B1199"/>
    <w:rsid w:val="5B9D08DB"/>
    <w:rsid w:val="5BAD5A86"/>
    <w:rsid w:val="5BCD41C3"/>
    <w:rsid w:val="5BD429A6"/>
    <w:rsid w:val="5C0025C0"/>
    <w:rsid w:val="5C180007"/>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1A4702"/>
    <w:rsid w:val="5D280F3C"/>
    <w:rsid w:val="5D411FCB"/>
    <w:rsid w:val="5D494B70"/>
    <w:rsid w:val="5D5C7688"/>
    <w:rsid w:val="5D615C0F"/>
    <w:rsid w:val="5D762C66"/>
    <w:rsid w:val="5D844DB8"/>
    <w:rsid w:val="5D865E73"/>
    <w:rsid w:val="5D9F7EE8"/>
    <w:rsid w:val="5DA93319"/>
    <w:rsid w:val="5DB156E1"/>
    <w:rsid w:val="5DC937A1"/>
    <w:rsid w:val="5DD65619"/>
    <w:rsid w:val="5DEF6B62"/>
    <w:rsid w:val="5DF47982"/>
    <w:rsid w:val="5E002949"/>
    <w:rsid w:val="5E0C5358"/>
    <w:rsid w:val="5E224225"/>
    <w:rsid w:val="5E2732CD"/>
    <w:rsid w:val="5E284D50"/>
    <w:rsid w:val="5E294B38"/>
    <w:rsid w:val="5E336F39"/>
    <w:rsid w:val="5E3723C6"/>
    <w:rsid w:val="5E392F19"/>
    <w:rsid w:val="5E723BE9"/>
    <w:rsid w:val="5E7464E9"/>
    <w:rsid w:val="5E7E4092"/>
    <w:rsid w:val="5E8E6492"/>
    <w:rsid w:val="5E923ECD"/>
    <w:rsid w:val="5E9D190F"/>
    <w:rsid w:val="5EC00B79"/>
    <w:rsid w:val="5ED871EF"/>
    <w:rsid w:val="5EF5653C"/>
    <w:rsid w:val="5EFF2762"/>
    <w:rsid w:val="5F045F3A"/>
    <w:rsid w:val="5F0D642C"/>
    <w:rsid w:val="5F17008D"/>
    <w:rsid w:val="5F1C3DD8"/>
    <w:rsid w:val="5F1E62AD"/>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47218"/>
    <w:rsid w:val="613D07C4"/>
    <w:rsid w:val="615C0F34"/>
    <w:rsid w:val="615C14A6"/>
    <w:rsid w:val="615F6AC2"/>
    <w:rsid w:val="61672ABF"/>
    <w:rsid w:val="617A5318"/>
    <w:rsid w:val="617C1D66"/>
    <w:rsid w:val="618B3212"/>
    <w:rsid w:val="61A058F7"/>
    <w:rsid w:val="61A93693"/>
    <w:rsid w:val="61B66917"/>
    <w:rsid w:val="61BC3B1A"/>
    <w:rsid w:val="61CD4121"/>
    <w:rsid w:val="61E107FF"/>
    <w:rsid w:val="61F2159D"/>
    <w:rsid w:val="61F4098A"/>
    <w:rsid w:val="62082A4E"/>
    <w:rsid w:val="62265EC9"/>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A71F82"/>
    <w:rsid w:val="65C649BC"/>
    <w:rsid w:val="65E55EB8"/>
    <w:rsid w:val="65E73B66"/>
    <w:rsid w:val="66022F90"/>
    <w:rsid w:val="66044FCB"/>
    <w:rsid w:val="66131984"/>
    <w:rsid w:val="66187135"/>
    <w:rsid w:val="662831A9"/>
    <w:rsid w:val="662C4F94"/>
    <w:rsid w:val="66313D38"/>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5E2E45"/>
    <w:rsid w:val="676811E7"/>
    <w:rsid w:val="678164D2"/>
    <w:rsid w:val="67880ECE"/>
    <w:rsid w:val="67903975"/>
    <w:rsid w:val="679F6750"/>
    <w:rsid w:val="67AF4AEE"/>
    <w:rsid w:val="67BC006F"/>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A0B7E27"/>
    <w:rsid w:val="6A15604C"/>
    <w:rsid w:val="6A2E4954"/>
    <w:rsid w:val="6A3014CE"/>
    <w:rsid w:val="6A5859DD"/>
    <w:rsid w:val="6A6A771D"/>
    <w:rsid w:val="6A6E396D"/>
    <w:rsid w:val="6A7E2CA7"/>
    <w:rsid w:val="6A9E04C5"/>
    <w:rsid w:val="6AA507AA"/>
    <w:rsid w:val="6AC07030"/>
    <w:rsid w:val="6AC9421D"/>
    <w:rsid w:val="6AD53613"/>
    <w:rsid w:val="6AD94F47"/>
    <w:rsid w:val="6AE641A3"/>
    <w:rsid w:val="6AE91DBD"/>
    <w:rsid w:val="6AEF29C9"/>
    <w:rsid w:val="6B281153"/>
    <w:rsid w:val="6B4C3B26"/>
    <w:rsid w:val="6B6162D1"/>
    <w:rsid w:val="6B7747FD"/>
    <w:rsid w:val="6B8D6111"/>
    <w:rsid w:val="6B9C3AE5"/>
    <w:rsid w:val="6BA924EB"/>
    <w:rsid w:val="6BB3693A"/>
    <w:rsid w:val="6BB3754C"/>
    <w:rsid w:val="6BC86908"/>
    <w:rsid w:val="6BCE245B"/>
    <w:rsid w:val="6BD44297"/>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F5C52"/>
    <w:rsid w:val="6E7F76C0"/>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DC4815"/>
    <w:rsid w:val="6FEA3E2C"/>
    <w:rsid w:val="6FEB04D5"/>
    <w:rsid w:val="701241A0"/>
    <w:rsid w:val="702603AF"/>
    <w:rsid w:val="70531F9D"/>
    <w:rsid w:val="705E3F40"/>
    <w:rsid w:val="70726E65"/>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B15C2B"/>
    <w:rsid w:val="71E27EA1"/>
    <w:rsid w:val="72024D75"/>
    <w:rsid w:val="72026398"/>
    <w:rsid w:val="722B4090"/>
    <w:rsid w:val="723F5976"/>
    <w:rsid w:val="724530CF"/>
    <w:rsid w:val="72607C33"/>
    <w:rsid w:val="7267558B"/>
    <w:rsid w:val="726D03AB"/>
    <w:rsid w:val="7275552C"/>
    <w:rsid w:val="72766BB2"/>
    <w:rsid w:val="72944739"/>
    <w:rsid w:val="72A97A08"/>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A36DC3"/>
    <w:rsid w:val="73B33483"/>
    <w:rsid w:val="73DE4D67"/>
    <w:rsid w:val="73FC6BEB"/>
    <w:rsid w:val="74016246"/>
    <w:rsid w:val="741255AF"/>
    <w:rsid w:val="745A4881"/>
    <w:rsid w:val="745C121D"/>
    <w:rsid w:val="746D0FDE"/>
    <w:rsid w:val="746F3109"/>
    <w:rsid w:val="74881C43"/>
    <w:rsid w:val="749A55E5"/>
    <w:rsid w:val="74B3391B"/>
    <w:rsid w:val="74CF4EC9"/>
    <w:rsid w:val="74D552C0"/>
    <w:rsid w:val="74DB0C49"/>
    <w:rsid w:val="74E40DB3"/>
    <w:rsid w:val="74F1132B"/>
    <w:rsid w:val="7514569D"/>
    <w:rsid w:val="751B5F96"/>
    <w:rsid w:val="75310AD0"/>
    <w:rsid w:val="755A08D5"/>
    <w:rsid w:val="755C4C37"/>
    <w:rsid w:val="75622CB1"/>
    <w:rsid w:val="75772547"/>
    <w:rsid w:val="75997C5C"/>
    <w:rsid w:val="75B33C4A"/>
    <w:rsid w:val="75B84A01"/>
    <w:rsid w:val="75C863E2"/>
    <w:rsid w:val="75DA5365"/>
    <w:rsid w:val="75DE03EB"/>
    <w:rsid w:val="75EA7032"/>
    <w:rsid w:val="75EC44C9"/>
    <w:rsid w:val="75F71CA5"/>
    <w:rsid w:val="760C1517"/>
    <w:rsid w:val="7611078B"/>
    <w:rsid w:val="761A2E8D"/>
    <w:rsid w:val="7628164D"/>
    <w:rsid w:val="76375AC5"/>
    <w:rsid w:val="76475DB4"/>
    <w:rsid w:val="765062E5"/>
    <w:rsid w:val="76725203"/>
    <w:rsid w:val="767263E3"/>
    <w:rsid w:val="767955BC"/>
    <w:rsid w:val="767F6735"/>
    <w:rsid w:val="7689098F"/>
    <w:rsid w:val="768D7CD7"/>
    <w:rsid w:val="76A17FB6"/>
    <w:rsid w:val="76C2056E"/>
    <w:rsid w:val="76CE079E"/>
    <w:rsid w:val="770D2AFC"/>
    <w:rsid w:val="771B710A"/>
    <w:rsid w:val="77245AA8"/>
    <w:rsid w:val="772870FB"/>
    <w:rsid w:val="773D2757"/>
    <w:rsid w:val="77430B38"/>
    <w:rsid w:val="774B7FB7"/>
    <w:rsid w:val="774D1291"/>
    <w:rsid w:val="77504D2A"/>
    <w:rsid w:val="775E0582"/>
    <w:rsid w:val="775F4656"/>
    <w:rsid w:val="776C25E5"/>
    <w:rsid w:val="776C3E9D"/>
    <w:rsid w:val="777146DC"/>
    <w:rsid w:val="77747495"/>
    <w:rsid w:val="77813C44"/>
    <w:rsid w:val="778D3E30"/>
    <w:rsid w:val="7797606B"/>
    <w:rsid w:val="779E1F21"/>
    <w:rsid w:val="77B7237F"/>
    <w:rsid w:val="77E40842"/>
    <w:rsid w:val="77FD2C5E"/>
    <w:rsid w:val="78271104"/>
    <w:rsid w:val="7828402F"/>
    <w:rsid w:val="782F5476"/>
    <w:rsid w:val="783000F4"/>
    <w:rsid w:val="78464A37"/>
    <w:rsid w:val="784A60C8"/>
    <w:rsid w:val="784B7472"/>
    <w:rsid w:val="785E7134"/>
    <w:rsid w:val="78661ED8"/>
    <w:rsid w:val="78861A8D"/>
    <w:rsid w:val="788F779E"/>
    <w:rsid w:val="78973BA6"/>
    <w:rsid w:val="78A376CA"/>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A70B11"/>
    <w:rsid w:val="79B43C51"/>
    <w:rsid w:val="79B6170C"/>
    <w:rsid w:val="79BB3341"/>
    <w:rsid w:val="79C22F64"/>
    <w:rsid w:val="79D03D26"/>
    <w:rsid w:val="79D550A6"/>
    <w:rsid w:val="7A3466E6"/>
    <w:rsid w:val="7A410FED"/>
    <w:rsid w:val="7A4205D3"/>
    <w:rsid w:val="7A4F3DD9"/>
    <w:rsid w:val="7A577D70"/>
    <w:rsid w:val="7A5872B9"/>
    <w:rsid w:val="7A5C3640"/>
    <w:rsid w:val="7A73566B"/>
    <w:rsid w:val="7A761A22"/>
    <w:rsid w:val="7A7D4F17"/>
    <w:rsid w:val="7A801366"/>
    <w:rsid w:val="7A977FDA"/>
    <w:rsid w:val="7A9C218A"/>
    <w:rsid w:val="7A9C3F7D"/>
    <w:rsid w:val="7AA87A9F"/>
    <w:rsid w:val="7AB05BBC"/>
    <w:rsid w:val="7AB27F2F"/>
    <w:rsid w:val="7AB44E97"/>
    <w:rsid w:val="7AB740EE"/>
    <w:rsid w:val="7AB94AC3"/>
    <w:rsid w:val="7ABB47EB"/>
    <w:rsid w:val="7AD3168F"/>
    <w:rsid w:val="7AD33C0D"/>
    <w:rsid w:val="7AE36910"/>
    <w:rsid w:val="7AEF7A90"/>
    <w:rsid w:val="7AF53C0B"/>
    <w:rsid w:val="7B07064A"/>
    <w:rsid w:val="7B0E6D55"/>
    <w:rsid w:val="7B144D45"/>
    <w:rsid w:val="7B265930"/>
    <w:rsid w:val="7B3E60A8"/>
    <w:rsid w:val="7B60366D"/>
    <w:rsid w:val="7B74384D"/>
    <w:rsid w:val="7B826E52"/>
    <w:rsid w:val="7B940404"/>
    <w:rsid w:val="7BB6238F"/>
    <w:rsid w:val="7BCA1026"/>
    <w:rsid w:val="7BD173B3"/>
    <w:rsid w:val="7BDD38EC"/>
    <w:rsid w:val="7BF8597E"/>
    <w:rsid w:val="7C12395E"/>
    <w:rsid w:val="7C14711B"/>
    <w:rsid w:val="7C1932F5"/>
    <w:rsid w:val="7C312516"/>
    <w:rsid w:val="7C45431D"/>
    <w:rsid w:val="7C4A144B"/>
    <w:rsid w:val="7C51263D"/>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F027B"/>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75650"/>
    <w:rsid w:val="7F8A68D8"/>
    <w:rsid w:val="7FA22782"/>
    <w:rsid w:val="7FA522BC"/>
    <w:rsid w:val="7FBA19A1"/>
    <w:rsid w:val="7FC90A85"/>
    <w:rsid w:val="7FDC7B8D"/>
    <w:rsid w:val="7FDF2A21"/>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6</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2024-05-13T11:03:11Z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